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cs="宋体"/>
          <w:b/>
          <w:bCs/>
          <w:color w:val="2E75B6" w:themeColor="accent1" w:themeShade="BF"/>
          <w:kern w:val="0"/>
          <w:sz w:val="52"/>
          <w:szCs w:val="52"/>
          <w:lang w:eastAsia="zh-CN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</w:rPr>
      </w:pPr>
      <w:r>
        <w:rPr>
          <w:rFonts w:hint="eastAsia" w:ascii="宋体" w:hAnsi="宋体" w:cs="宋体"/>
          <w:b/>
          <w:bCs/>
          <w:color w:val="2E75B6" w:themeColor="accent1" w:themeShade="BF"/>
          <w:kern w:val="0"/>
          <w:sz w:val="52"/>
          <w:szCs w:val="52"/>
          <w:lang w:eastAsia="zh-CN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</w:rPr>
        <w:t>衡水桃城区公安局户政</w:t>
      </w:r>
    </w:p>
    <w:p>
      <w:pPr>
        <w:spacing w:line="420" w:lineRule="exact"/>
        <w:jc w:val="both"/>
        <w:rPr>
          <w:rFonts w:hint="eastAsia" w:ascii="宋体" w:hAnsi="宋体" w:cs="宋体"/>
          <w:b/>
          <w:bCs/>
          <w:kern w:val="0"/>
          <w:sz w:val="36"/>
          <w:szCs w:val="36"/>
          <w:lang w:eastAsia="zh-CN"/>
        </w:rPr>
      </w:pPr>
    </w:p>
    <w:p>
      <w:pPr>
        <w:spacing w:line="420" w:lineRule="exact"/>
        <w:jc w:val="both"/>
        <w:rPr>
          <w:rFonts w:hint="eastAsia" w:ascii="宋体" w:hAnsi="宋体" w:cs="宋体"/>
          <w:b/>
          <w:bCs/>
          <w:kern w:val="0"/>
          <w:sz w:val="36"/>
          <w:szCs w:val="36"/>
          <w:lang w:eastAsia="zh-CN"/>
        </w:rPr>
      </w:pPr>
    </w:p>
    <w:p>
      <w:pPr>
        <w:spacing w:line="420" w:lineRule="exact"/>
        <w:jc w:val="both"/>
        <w:rPr>
          <w:rFonts w:hint="eastAsia" w:ascii="宋体" w:hAnsi="宋体" w:cs="宋体"/>
          <w:b/>
          <w:bCs/>
          <w:kern w:val="0"/>
          <w:sz w:val="36"/>
          <w:szCs w:val="36"/>
          <w:lang w:eastAsia="zh-CN"/>
        </w:rPr>
      </w:pPr>
    </w:p>
    <w:p>
      <w:pPr>
        <w:spacing w:line="420" w:lineRule="exact"/>
        <w:jc w:val="both"/>
        <w:rPr>
          <w:rFonts w:hint="eastAsia" w:ascii="宋体" w:hAnsi="宋体" w:cs="宋体"/>
          <w:b/>
          <w:bCs/>
          <w:kern w:val="0"/>
          <w:sz w:val="36"/>
          <w:szCs w:val="36"/>
          <w:lang w:eastAsia="zh-CN"/>
        </w:rPr>
      </w:pPr>
    </w:p>
    <w:p>
      <w:pPr>
        <w:spacing w:line="420" w:lineRule="exact"/>
        <w:jc w:val="both"/>
        <w:rPr>
          <w:rFonts w:hint="eastAsia" w:ascii="宋体" w:hAnsi="宋体" w:cs="宋体"/>
          <w:b/>
          <w:bCs/>
          <w:kern w:val="0"/>
          <w:sz w:val="36"/>
          <w:szCs w:val="36"/>
          <w:lang w:eastAsia="zh-CN"/>
        </w:rPr>
      </w:pPr>
    </w:p>
    <w:p>
      <w:pPr>
        <w:spacing w:line="420" w:lineRule="exact"/>
        <w:jc w:val="both"/>
        <w:rPr>
          <w:rFonts w:hint="eastAsia" w:ascii="宋体" w:hAnsi="宋体" w:cs="宋体"/>
          <w:b/>
          <w:bCs/>
          <w:kern w:val="0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cs="宋体"/>
          <w:b/>
          <w:bCs/>
          <w:color w:val="2E75B6" w:themeColor="accent1" w:themeShade="BF"/>
          <w:kern w:val="0"/>
          <w:sz w:val="56"/>
          <w:szCs w:val="56"/>
          <w:lang w:eastAsia="zh-CN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</w:rPr>
      </w:pPr>
      <w:r>
        <w:rPr>
          <w:rFonts w:hint="eastAsia" w:ascii="宋体" w:hAnsi="宋体" w:cs="宋体"/>
          <w:b/>
          <w:bCs/>
          <w:color w:val="2E75B6" w:themeColor="accent1" w:themeShade="BF"/>
          <w:kern w:val="0"/>
          <w:sz w:val="56"/>
          <w:szCs w:val="56"/>
          <w:lang w:eastAsia="zh-CN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</w:rPr>
        <w:t>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cs="宋体"/>
          <w:b/>
          <w:bCs/>
          <w:color w:val="2E75B6" w:themeColor="accent1" w:themeShade="BF"/>
          <w:kern w:val="0"/>
          <w:sz w:val="56"/>
          <w:szCs w:val="56"/>
          <w:lang w:eastAsia="zh-CN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cs="宋体"/>
          <w:b/>
          <w:bCs/>
          <w:color w:val="2E75B6" w:themeColor="accent1" w:themeShade="BF"/>
          <w:kern w:val="0"/>
          <w:sz w:val="56"/>
          <w:szCs w:val="56"/>
          <w:lang w:eastAsia="zh-CN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</w:rPr>
      </w:pPr>
      <w:r>
        <w:rPr>
          <w:rFonts w:hint="eastAsia" w:ascii="宋体" w:hAnsi="宋体" w:cs="宋体"/>
          <w:b/>
          <w:bCs/>
          <w:color w:val="2E75B6" w:themeColor="accent1" w:themeShade="BF"/>
          <w:kern w:val="0"/>
          <w:sz w:val="56"/>
          <w:szCs w:val="56"/>
          <w:lang w:eastAsia="zh-CN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</w:rPr>
        <w:t>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cs="宋体"/>
          <w:b/>
          <w:bCs/>
          <w:color w:val="2E75B6" w:themeColor="accent1" w:themeShade="BF"/>
          <w:kern w:val="0"/>
          <w:sz w:val="56"/>
          <w:szCs w:val="56"/>
          <w:lang w:eastAsia="zh-CN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cs="宋体"/>
          <w:b/>
          <w:bCs/>
          <w:color w:val="2E75B6" w:themeColor="accent1" w:themeShade="BF"/>
          <w:kern w:val="0"/>
          <w:sz w:val="56"/>
          <w:szCs w:val="56"/>
          <w:lang w:eastAsia="zh-CN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</w:rPr>
      </w:pPr>
    </w:p>
    <w:p>
      <w:pPr>
        <w:rPr>
          <w:rFonts w:hint="eastAsia" w:ascii="宋体" w:hAnsi="宋体" w:eastAsia="宋体" w:cs="宋体"/>
          <w:b/>
          <w:bCs/>
          <w:color w:val="2E75B6" w:themeColor="accent1" w:themeShade="BF"/>
          <w:kern w:val="0"/>
          <w:sz w:val="56"/>
          <w:szCs w:val="56"/>
          <w:lang w:val="en-US" w:eastAsia="zh-CN" w:bidi="ar-SA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</w:rPr>
      </w:pPr>
    </w:p>
    <w:p>
      <w:pPr>
        <w:rPr>
          <w:rFonts w:hint="eastAsia" w:ascii="宋体" w:hAnsi="宋体" w:eastAsia="宋体" w:cs="宋体"/>
          <w:b/>
          <w:bCs/>
          <w:color w:val="2E75B6" w:themeColor="accent1" w:themeShade="BF"/>
          <w:kern w:val="0"/>
          <w:sz w:val="56"/>
          <w:szCs w:val="56"/>
          <w:lang w:val="en-US" w:eastAsia="zh-CN" w:bidi="ar-SA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cs="宋体"/>
          <w:b/>
          <w:bCs/>
          <w:color w:val="2E75B6" w:themeColor="accent1" w:themeShade="BF"/>
          <w:kern w:val="0"/>
          <w:sz w:val="36"/>
          <w:szCs w:val="36"/>
          <w:lang w:val="en-US" w:eastAsia="zh-CN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cs="宋体"/>
          <w:b/>
          <w:bCs/>
          <w:color w:val="2E75B6" w:themeColor="accent1" w:themeShade="BF"/>
          <w:kern w:val="0"/>
          <w:sz w:val="36"/>
          <w:szCs w:val="36"/>
          <w:lang w:val="en-US" w:eastAsia="zh-CN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</w:rPr>
      </w:pPr>
      <w:r>
        <w:rPr>
          <w:rFonts w:hint="eastAsia" w:ascii="宋体" w:hAnsi="宋体" w:cs="宋体"/>
          <w:b/>
          <w:bCs/>
          <w:color w:val="2E75B6" w:themeColor="accent1" w:themeShade="BF"/>
          <w:kern w:val="0"/>
          <w:sz w:val="36"/>
          <w:szCs w:val="36"/>
          <w:lang w:val="en-US" w:eastAsia="zh-CN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</w:rPr>
        <w:t>石家庄通硕科技有限公司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cs="宋体"/>
          <w:b/>
          <w:bCs/>
          <w:color w:val="2E75B6" w:themeColor="accent1" w:themeShade="BF"/>
          <w:kern w:val="0"/>
          <w:sz w:val="36"/>
          <w:szCs w:val="36"/>
          <w:lang w:val="en-US" w:eastAsia="zh-CN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color w:val="2E75B6" w:themeColor="accent1" w:themeShade="BF"/>
          <w:kern w:val="0"/>
          <w:sz w:val="36"/>
          <w:szCs w:val="36"/>
          <w:lang w:val="en-US" w:eastAsia="zh-CN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</w:rPr>
        <w:t>二零一八年四月二日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00" w:lineRule="exact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1.身份证自助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领证机</w:t>
      </w:r>
    </w:p>
    <w:p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3024505</wp:posOffset>
            </wp:positionH>
            <wp:positionV relativeFrom="paragraph">
              <wp:posOffset>179705</wp:posOffset>
            </wp:positionV>
            <wp:extent cx="2293620" cy="4077335"/>
            <wp:effectExtent l="0" t="0" r="11430" b="18415"/>
            <wp:wrapSquare wrapText="bothSides"/>
            <wp:docPr id="3" name="图片 3" descr="领证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领证机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93620" cy="4077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>整体参数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1）总容量：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900张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2）外形尺寸：90cm*75.6cm*188cm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3）重量（空载）：≤250kg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4）总耗电功率：≤ 500W</w:t>
      </w:r>
    </w:p>
    <w:p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>中央控制器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控制器结构：一体化运动控制器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CPU主频:3.30GHZ双核内存：4G；10个USB口；2个LAN口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每轴输出：每轴输出差分脉冲+方向信号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最高频率：2MHZ；每轴输出模拟电压范围：-10V-+10V精度：16位；每轴Home、Index及探针硬件捕获功能，每轴正负限位及伺服报警输入，每轴手脉跟随功能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）控制功能：对称及非对称T型曲线、S型曲线速度规划；JOG模式、PT(位置与时间)/PVT(位置、速度及时间)运动规划、电子齿轮模式、Follow模式、直线插补运动模式、位置比较输出及运动合成功能；支持闭环与开环控制；具有数字滤波器:PID+速度前馈+加速度前馈；可在运动控制器上实现运动逻辑管理；限位、伺服报警输入与通用数字输入可相互匹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4）通用数字I/O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16I/16O可扩展IO模块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5）扩展功能：可扩展数字IO模块、AD/DA模块，支持GLINK通讯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6）接口P支持RS-232接口、USB接口、PS/2：标准键盘和鼠标、VGA显示接口、EHMI接口（传输距离不低于100米）、以太网口：1000M自适应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7）显示：支持双显VGA和LVDS两种方式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8）操作系统：Win7操作系统</w:t>
      </w:r>
    </w:p>
    <w:p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>卡库</w:t>
      </w:r>
    </w:p>
    <w:p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1）卡库最高转速30转/分钟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2）卡库旋转精度±5 Arc-min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3）驱动方式：采用2500线步进伺服电机保证卡库的旋转定位精度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4）卡库：ABS+玻璃纤维注塑成型，采用500万次疲劳疲劳强度高精度弹簧牛眼作为身份证径向约束，防止身份证脱落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5）支撑：有限元拓扑优化的轻质量支撑结构，高精度高刚性大直径旋转轴承，保证卡库直线度，运转平稳性</w:t>
      </w:r>
    </w:p>
    <w:p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>进出卡模组直线运动</w:t>
      </w:r>
    </w:p>
    <w:p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1）有效行程：420mm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2）最大运行速度：60cm/s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3）运动精度：±0.04mm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4）驱动方式：采用2500线步进伺服电机保证进出卡模组相对卡库的对位精度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5）传动方式：采用高精度高强度同步带传动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6）支撑：轻质拉伸铝型材+高柔不锈钢带防护</w:t>
      </w:r>
    </w:p>
    <w:p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>进卡模组</w:t>
      </w:r>
    </w:p>
    <w:p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1）高精度同步带传动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2）传感器：无卡传感器，进卡传感器到位传感器，完全出卡传感器保证每个身份证精确停止在读卡位收集信息，确保身份证完全进入卡库并与进卡模组无干涉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3）进卡机构：曲柄滑块机构保证每次都将身份证推入卡库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4）读卡机构：有限元计算优化的防电磁干扰机构设计，确保读卡成功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5）进卡槽:容量≥400张</w:t>
      </w:r>
    </w:p>
    <w:p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>出卡模组</w:t>
      </w:r>
    </w:p>
    <w:p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1）高精度同步带传动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2）传感器：推卡传感器，出卡传感器到位传感器，完全出卡传感器保证每个身份证精确停止在读卡位收集信息，确保身份证完全退出卡机并与进卡模组无干涉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3）读卡机构：有限元计算优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化的防电磁干扰机构设计，确保读卡成功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4）推卡机构：滚珠导轨精确导向的直线电磁铁运动方式</w:t>
      </w:r>
    </w:p>
    <w:p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>机柜</w:t>
      </w:r>
    </w:p>
    <w:p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钢机柜、不易变形，外观美观、大方，符合人体工程学设计，  布局合理，工艺精细，防尘、防锈、防腐、耐磨，前后开门维护</w:t>
      </w:r>
    </w:p>
    <w:p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>显示器</w:t>
      </w:r>
      <w:r>
        <w:rPr>
          <w:rFonts w:hint="eastAsia" w:ascii="宋体" w:hAnsi="宋体" w:eastAsia="宋体" w:cs="宋体"/>
          <w:sz w:val="24"/>
          <w:szCs w:val="24"/>
        </w:rPr>
        <w:t>21寸，屏幕比例：16:09   显示区域： 479.8mmx271.3mm   最佳分辨率：1920x1080 亮度： 450cd/㎡，对比度： 50000：1  响应时间：3—6ms， 水平/垂直角度：±178°扫描频率：60Hz     显示色彩：16.7M   使用寿命(hrs)≥60000</w:t>
      </w:r>
    </w:p>
    <w:p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>触摸屏</w:t>
      </w:r>
    </w:p>
    <w:p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21寸，触摸方式：红外触摸   触摸点数：1—32点（默认4—6点触摸）  定位精度：±2mm   透光率：≥92%   厚度：10mm    响应时间：≤10ms</w:t>
      </w:r>
    </w:p>
    <w:p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>摄像头</w:t>
      </w:r>
    </w:p>
    <w:p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像元尺寸:1.65um    闪光灯控制接口:支持  2P-1.25mm插座 闪光灯供电接口:支持  2P-2.0mm插座 供电方式:USB BUS POWER  4P-2.0mm插座 最高有效像素:3264(H) X 2448(V) 输出图像格式:MJPEG / YUV2（YUYV）接口类型:USB2.0 High Speed   支持免驱协议:USB Video Class（UVC）  自动曝光控制AEC:支持  自动白平衡AEB:支持  自动增益控制AGC:支持</w:t>
      </w:r>
    </w:p>
    <w:p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>身份证阅读</w:t>
      </w: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内置公安部授权的专用身份证安全控制模块（SAM），对身份证有效性验证和信息的实时读取</w:t>
      </w:r>
    </w:p>
    <w:p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>扫描器</w:t>
      </w:r>
    </w:p>
    <w:p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镜面平放扫描，操作简单，无需对焦。扫描头：3.3VDC ± 5%，解码器：TTL-RS232:3.0–5.5VDC; USB: 5.0 VDC ± 5%  接口参数：RS232、Micro-B USB ，接口类型：RJ-45水晶头 ，可扫描一维二维条形码，用于制证信息的调取</w:t>
      </w:r>
    </w:p>
    <w:p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kern w:val="0"/>
          <w:sz w:val="24"/>
          <w:szCs w:val="24"/>
        </w:rPr>
        <w:t>UPS电源</w:t>
      </w: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</w:rPr>
        <w:t>双变换在线式设计，不受断电波动干扰，断电保护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≥30分钟</w:t>
      </w:r>
    </w:p>
    <w:p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>指纹采集</w:t>
      </w: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分辨率：500DPI ，图像大小：256像素X360像素，采集时间≤0.07秒，接口：2.0   符合《居民身份证指纹采集器通用技术要求》，符合《公安部指纹采集仪合格名录》</w:t>
      </w:r>
    </w:p>
    <w:p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>终端系统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1、全自动化分拣：身份证放入发卡机存槽，通过自助领证系统操作，实现身份证自动存入身份证存放仓，身份证存放数量达到2000张。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2、自助本人领证、自助他人领证。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3、超时回收：证件已经出到出证口，超过30秒（可配置时间）自动将证件收回，回收证件放回指定其他位置，由程序控制。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4、增加旧证回收功能，回收期满换领的旧身份证。回收仓可存放身份证500张以上。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5、双手指纹采集，设备设置2个指纹采集区，分别为左右手，方便群众进行指纹核验。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6、可现场拍照，记录领证人领证过程，并将现场照片传入本地常住人口管理信息系统以备核查。</w:t>
      </w:r>
    </w:p>
    <w:p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>管理系统</w:t>
      </w: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1、数据统计：可按时间、签发机关、领取方式等统计身份证存入、领取数据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2、报表打印：可打印领取记录、月领取存入情况等报表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3、他人代领设置：用于设置代领人信息，便于群众代领身份证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4、用户管理：对设备管理用户进行设置，添加、变更、删除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2.居民身份证自助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申领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机 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2620645</wp:posOffset>
            </wp:positionH>
            <wp:positionV relativeFrom="paragraph">
              <wp:posOffset>25400</wp:posOffset>
            </wp:positionV>
            <wp:extent cx="2585720" cy="4597400"/>
            <wp:effectExtent l="0" t="0" r="5080" b="12700"/>
            <wp:wrapSquare wrapText="bothSides"/>
            <wp:docPr id="4" name="图片 4" descr="申领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申领机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85720" cy="4597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cs="宋体"/>
          <w:b/>
          <w:bCs/>
          <w:color w:val="2E75B6" w:themeColor="accent1" w:themeShade="BF"/>
          <w:kern w:val="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2E75B6" w:themeColor="accent1" w:themeShade="BF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color w:val="2E75B6" w:themeColor="accent1" w:themeShade="BF"/>
          <w:kern w:val="0"/>
          <w:sz w:val="24"/>
          <w:szCs w:val="24"/>
          <w:lang w:eastAsia="zh-CN"/>
        </w:rPr>
        <w:t>技术参数：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2E75B6" w:themeColor="accent1" w:themeShade="BF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kern w:val="0"/>
          <w:sz w:val="24"/>
          <w:szCs w:val="24"/>
        </w:rPr>
        <w:t>主控机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工业级主机防尘、防污、散热更有利机器平稳运行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操作系统：WINDOWS7 32位旗舰版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CPU：双核≥ 3.16GHZ  内存：≥4G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硬盘：SDD固态高速硬盘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输入接口：10个USB口  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1个PCIE×16接口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1个PCIE x1接口，4个PCI口  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6个COM口（1个RS-232 /电源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1个RS-422/485电源，4个RS-232） 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2个SATAII口  8位GPIO口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2E75B6" w:themeColor="accent1" w:themeShade="BF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kern w:val="0"/>
          <w:sz w:val="24"/>
          <w:szCs w:val="24"/>
        </w:rPr>
        <w:t>主机电源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额定功率：350W 风扇：12CM  PFC：主动PFC 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效率：85% 主电源接口： 20+4 pin CPU 12V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供电接口：4pin+4pin ，D型4pin接口：3个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SATA 接口：6个 8pin ，输入电压：150-265V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重量：1.85 kg，支持温控：支持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2E75B6" w:themeColor="accent1" w:themeShade="BF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kern w:val="0"/>
          <w:sz w:val="24"/>
          <w:szCs w:val="24"/>
        </w:rPr>
        <w:t>显示屏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21寸,屏幕比例：16:09   显示区域：  479.8mmx271.3mm   最佳分辨率：1920x1080 亮度： 450cd/㎡，对比度： 50000：1  响应时间：3—6ms，水平/垂直角度：±178°扫描频率：60Hz     显示色彩：16.7M   使用寿命(hrs)≥60000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2E75B6" w:themeColor="accent1" w:themeShade="BF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kern w:val="0"/>
          <w:sz w:val="24"/>
          <w:szCs w:val="24"/>
        </w:rPr>
        <w:t>触摸屏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21寸，触摸方式：红外触摸   触摸点数：1—32点（默认4—6点触摸）  定位精度：±2mm   透光率：≥92%   厚度：10mm    响应时间：≤10ms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2E75B6" w:themeColor="accent1" w:themeShade="BF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kern w:val="0"/>
          <w:sz w:val="24"/>
          <w:szCs w:val="24"/>
        </w:rPr>
        <w:t>摄像头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像元尺寸:1.65um    闪光灯控制接口:支持  2P-1.25mm插座 闪光灯供电接口:支持  2P-2.0mm插座 供电方式:USB BUS POWER  4P-2.0mm插座 最高有效像素:3264(H) X 2448(V) 输出图像格式:MJPEG / YUV2（YUYV）接口类型:USB2.0 High Speed   支持免驱协议:USB Video Class（UVC）  自动曝光控制AEC:支持  自动白平衡AEB:支持  自动增益控制AGC:支持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2E75B6" w:themeColor="accent1" w:themeShade="BF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kern w:val="0"/>
          <w:sz w:val="24"/>
          <w:szCs w:val="24"/>
        </w:rPr>
        <w:t>热敏打印机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80mm纸宽-切纸功能：自动切纸，带防卡纸嘴,支持纸卷直径120mm-串口通信, 缺纸检测：预缺纸检测, 可准确向后台报送数据状态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2E75B6" w:themeColor="accent1" w:themeShade="BF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kern w:val="0"/>
          <w:sz w:val="24"/>
          <w:szCs w:val="24"/>
        </w:rPr>
        <w:t>身份证阅读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内置公安部授权的专用身份证安全控制模块（SAM），对身份证有效性验证和信息的实时读取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2E75B6" w:themeColor="accent1" w:themeShade="BF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kern w:val="0"/>
          <w:sz w:val="24"/>
          <w:szCs w:val="24"/>
        </w:rPr>
        <w:t>指纹采集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分辨率：500DPI ，图像大小：256像素X360像素，采集时间≤0.07秒，接口：2.0   符合《居民身份证指纹采集器通用技术要求》，符合《公安部指纹采集仪合格名录》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2E75B6" w:themeColor="accent1" w:themeShade="BF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kern w:val="0"/>
          <w:sz w:val="24"/>
          <w:szCs w:val="24"/>
        </w:rPr>
        <w:t>鱼眼摄像头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传感器：CMOS,清晰度：420 TV Lines   广角：170°,实时监控现场办理人上半身（含人像、指位）图像，并抓取照片入库留存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2E75B6" w:themeColor="accent1" w:themeShade="BF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kern w:val="0"/>
          <w:sz w:val="24"/>
          <w:szCs w:val="24"/>
        </w:rPr>
        <w:t>签名板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2048级压感，200点，签名板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2E75B6" w:themeColor="accent1" w:themeShade="BF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kern w:val="0"/>
          <w:sz w:val="24"/>
          <w:szCs w:val="24"/>
        </w:rPr>
        <w:t>纸币接收器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支持币种：人民币,港币,台币,美元,欧元,日元,韩元,加元,英镑,澳元,卢布,泰株  检测方式：图案,红外,紫外,磁性,水性,安全线,其他  电源CD12V 工作电压 CD12V 识币速度到达3秒钟，重量：3公斤，尺寸：114 x 217 x 298mm，供电电压： 12VDC +/- 10%  USB直接驱动，通讯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2E75B6" w:themeColor="accent1" w:themeShade="BF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kern w:val="0"/>
          <w:sz w:val="24"/>
          <w:szCs w:val="24"/>
        </w:rPr>
        <w:t>壳体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外形:新颖美观、尊贵；材质：冷轧钢板，坚硬厚实，不易变形；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表层处理：防锈、防腐、耐磨，不易沾污损坏；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内部结构：布线规范整齐；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外部结构：各部件模块与机柜结合紧密，布局合理，工艺精细；整机设计符合人体工程学设计，操作简单舒适。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钢板厚度为硬件托盘1.2mm  机身2.0mm  机身底部2.0mm，壳体表面采用五金喷涂的处理。</w:t>
      </w:r>
    </w:p>
    <w:p>
      <w:pPr>
        <w:keepNext w:val="0"/>
        <w:keepLines w:val="0"/>
        <w:pageBreakBefore w:val="0"/>
        <w:widowControl/>
        <w:tabs>
          <w:tab w:val="left" w:pos="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整体尺寸：670mm*526mm*1867mm（正面*纵深*高度），整机质量小于170公斤。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2811145</wp:posOffset>
            </wp:positionH>
            <wp:positionV relativeFrom="paragraph">
              <wp:posOffset>258445</wp:posOffset>
            </wp:positionV>
            <wp:extent cx="2470785" cy="4393565"/>
            <wp:effectExtent l="0" t="0" r="5715" b="6985"/>
            <wp:wrapSquare wrapText="bothSides"/>
            <wp:docPr id="5" name="图片 5" descr="自助照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自助照相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70785" cy="4393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28"/>
          <w:szCs w:val="28"/>
          <w:vertAlign w:val="baseline"/>
          <w:lang w:val="en-US" w:eastAsia="zh-CN"/>
        </w:rPr>
        <w:t>3.自助照相系统</w:t>
      </w:r>
    </w:p>
    <w:p>
      <w:pPr>
        <w:keepNext w:val="0"/>
        <w:keepLines w:val="0"/>
        <w:pageBreakBefore w:val="0"/>
        <w:widowControl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cs="宋体"/>
          <w:b/>
          <w:bCs/>
          <w:color w:val="auto"/>
          <w:sz w:val="28"/>
          <w:szCs w:val="28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cs="宋体"/>
          <w:b/>
          <w:bCs/>
          <w:color w:val="2E75B6" w:themeColor="accent1" w:themeShade="BF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color w:val="2E75B6" w:themeColor="accent1" w:themeShade="BF"/>
          <w:sz w:val="24"/>
          <w:szCs w:val="24"/>
          <w:lang w:eastAsia="zh-CN"/>
        </w:rPr>
        <w:t>技术参数：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>外壳材质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长：≤1280mm(毫米) 宽：≤826mm（毫米） 高：≤2060mm（毫米）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冷轧不锈钢机柜、不易变形，符合人体工程学设计，布局合理，工艺精细，防尘、防锈、防腐、耐磨，前后可开门维护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>工控主机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工业级工控主板，intel双核处理器≥3.6G，固态硬盘≥120GB，内存≥4G，电源≤450W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>主控模块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USB通讯，12V直流供电；1路恒定3.3V直流输出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1路恒定5V直流输出，2路触发输入，7路模拟PWM输出，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1路控制开关，8路12V直流输出开关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>灯光控制系统</w:t>
      </w: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LED灯板，12v供电，色温5200K，高显色指数，结合主控模块自动控制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>电源控制系统</w:t>
      </w: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规格：12V，350W直流输出；24V，350W直流输出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>音箱</w:t>
      </w: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立体声双卫星喇叭，USB供电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>显示屏</w:t>
      </w: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显示屏：≥15寸 红外触控电容屏 分辨率：≥1024×768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>摄像座椅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电动式升降，输入电压：≥24V DC-29V DC；承载：≤400KG；空载最大速度42mm/sec；最大行程300mm;工作温度-20℃-50℃；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>灯箱广告</w:t>
      </w: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自主研发，LED灯板，12V供电，可放置宣传海报等，有效进行宣传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>专用数码相机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18-55mmⅡ镜头。传感器类型：CMOS；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传感器尺寸：APS画幅（22.3×14.9mm）；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传感器描述除尘功能：手动，添加除尘数据；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有效像素：≥1800万，最高分辨率5184×3456，光学变焦：3.1倍；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图像分辨率L（大）：约1790万像素（5184×3456）；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镜头类型：伸缩式，9组11片结构；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光圈：F3.5-F5.6；对焦方式：TTL辅助影像重合，相位检测；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对焦区域：单次自动对焦，人工智能伺服自动对焦，人工智能自动对焦，手动对焦；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对焦点数：9点（中央为对应F5.6的十字型自动对焦）；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对焦辅助：方式由内置闪光灯发出的短促连续闪光；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电子快门对焦速度：30-1/4000秒，B门闪光同步速度为1/200秒；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显示屏类型：高清屏；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显示屏尺寸：3英寸；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显示屏像素：46万像素液晶屏；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菜单语言：25种（含简体中文）；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存储卡类型：SD/SDHC/SDXC卡；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文件格式图片：JPEG，RAW，RAW+JPEG；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>监控系统</w:t>
      </w: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内置录像系统，可监控设备日常运转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>设备外观</w:t>
      </w: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浅蓝色设计，定制宣传喷涂彩画。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>操作系统</w:t>
      </w: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window7 操作系统</w:t>
      </w:r>
    </w:p>
    <w:p>
      <w:pPr>
        <w:keepNext w:val="0"/>
        <w:keepLines w:val="0"/>
        <w:pageBreakBefore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>整机功耗</w:t>
      </w:r>
      <w:r>
        <w:rPr>
          <w:rFonts w:hint="eastAsia" w:ascii="宋体" w:hAnsi="宋体" w:eastAsia="宋体" w:cs="宋体"/>
          <w:b/>
          <w:bCs/>
          <w:color w:val="2E75B6" w:themeColor="accent1" w:themeShade="BF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待机时约180W，工作时约200W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983338B"/>
    <w:multiLevelType w:val="singleLevel"/>
    <w:tmpl w:val="A983338B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693621"/>
    <w:rsid w:val="008D0236"/>
    <w:rsid w:val="03174D83"/>
    <w:rsid w:val="0C5A6708"/>
    <w:rsid w:val="0C9C7A03"/>
    <w:rsid w:val="0E0A247F"/>
    <w:rsid w:val="0F1775F5"/>
    <w:rsid w:val="1D724792"/>
    <w:rsid w:val="298130CE"/>
    <w:rsid w:val="3A823B2C"/>
    <w:rsid w:val="433752CC"/>
    <w:rsid w:val="535F0ED5"/>
    <w:rsid w:val="55DE2F72"/>
    <w:rsid w:val="5CC156B3"/>
    <w:rsid w:val="6A3202C6"/>
    <w:rsid w:val="6BDA393D"/>
    <w:rsid w:val="6EEB0A4F"/>
    <w:rsid w:val="74693621"/>
    <w:rsid w:val="79996A56"/>
    <w:rsid w:val="79C073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2018-03-30T08:40:00Z</dcterms:created>
  <dc:creator>牛</dc:creator>
  <cp:lastModifiedBy>Administrator</cp:lastModifiedBy>
  <dcterms:modified xsi:type="dcterms:W3CDTF">2018-04-12T07:13:06Z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